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9E" w:rsidRPr="002106E4" w:rsidRDefault="00B85A9E" w:rsidP="002106E4">
      <w:pPr>
        <w:spacing w:after="0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</w:t>
      </w:r>
      <w:r w:rsidRPr="002106E4">
        <w:rPr>
          <w:rFonts w:eastAsia="Times New Roman" w:cstheme="minorHAnsi"/>
          <w:b/>
          <w:bCs/>
          <w:color w:val="333333"/>
          <w:sz w:val="24"/>
          <w:szCs w:val="24"/>
          <w:vertAlign w:val="superscript"/>
          <w:lang w:eastAsia="fr-FR"/>
        </w:rPr>
        <w:t>ème</w:t>
      </w:r>
      <w:r w:rsidRP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dimanche de Carême,</w:t>
      </w:r>
    </w:p>
    <w:p w:rsidR="00B85A9E" w:rsidRPr="002106E4" w:rsidRDefault="00B85A9E" w:rsidP="002106E4">
      <w:pPr>
        <w:spacing w:after="0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Commentaire des textes bibliques.</w:t>
      </w:r>
    </w:p>
    <w:p w:rsidR="00B85A9E" w:rsidRDefault="00B85A9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2106E4" w:rsidRPr="00EB03C9" w:rsidRDefault="002106E4" w:rsidP="00B85A9E">
      <w:pPr>
        <w:spacing w:after="0"/>
        <w:jc w:val="both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Ce dimanche nous 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présente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ce qui cristallise les relations en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tre Jésus et le peuple hébreux.</w:t>
      </w:r>
    </w:p>
    <w:p w:rsidR="002106E4" w:rsidRPr="00B85A9E" w:rsidRDefault="002106E4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7E7E3E" w:rsidRPr="002106E4" w:rsidRDefault="007E7E3E" w:rsidP="00B85A9E">
      <w:pPr>
        <w:spacing w:after="0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Lecture du livre de l’Exode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En ces jours-là, sur le Sinaï,</w:t>
      </w:r>
      <w:r w:rsidR="00B85A9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Dieu prononça toutes les paroles que voici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« Je suis le Seigneur ton Dieu,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qui t’ai fait sortir du pays d’Égypte,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de la maison d’esclavage.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n’auras pas d’autres dieux en face de moi.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feras aucune idole,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aucune image de ce qui est là-haut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dans les cieux,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ou en bas sur la terre,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ou dans les eaux par-dessous la terre.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te prosterneras pas devant ces dieux,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pour leur rendre un culte.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Car moi, le Seigneur ton Dieu,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je suis un Dieu jaloux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chez ceux qui me haïssent,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je punis la faute des pères sur les fils,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jusqu’à la troisième et la quatrième génération ;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mais ceux qui m’aiment et observent mes commandements,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je leur montre ma fidélité jusqu’à la millième génération.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7E7E3E" w:rsidRPr="00B85A9E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Tu n’invoqueras 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>p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as en vain le nom du Seigneur ton Dieu,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car le Seigneur ne laissera pas impuni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celui qui invoque en vain son nom.</w:t>
      </w:r>
    </w:p>
    <w:p w:rsidR="007E7E3E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Souviens-toi du jour du sabbat pour le sanctifier.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Pendant six jours tu travailleras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tu feras tout ton ouvrage ;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mais le septième jour est le jour du repos,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sabbat en l’honneur du Seigneur ton Dieu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feras aucun ouvrage,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ni toi, ni ton fils, ni ta fille,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ni ton serviteur, ni ta servante, ni tes bêtes,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ni l’immigré qui est dans ta ville.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Car en six jours le Seigneur a fait le ciel,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la terre, la mer et tout ce qu’ils contiennent,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mais il s’est reposé le septième jour.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C’est pourquoi le Seigneur a béni le jour du sabbat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l’a sanctifié.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Honore ton père et ta mère,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afin d’avoir longue vie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sur la terre que te donne le Seigneur ton Dieu.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Tu ne commettras pas de meurtre.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commettras pas d’adultère.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commettras pas de vol.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porteras pas de faux témoignage contre ton prochain.</w:t>
      </w:r>
    </w:p>
    <w:p w:rsidR="007E7E3E" w:rsidRPr="00B85A9E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convoiteras pas la maison de ton prochain ;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tu ne convoiteras pas la femme de ton prochain,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ni son serviteur, ni sa servante,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ni son bœuf, ni son âne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rien de ce qui lui appartient. »</w:t>
      </w:r>
    </w:p>
    <w:p w:rsidR="002106E4" w:rsidRDefault="002106E4" w:rsidP="00B85A9E">
      <w:pPr>
        <w:spacing w:after="0"/>
        <w:jc w:val="both"/>
        <w:outlineLvl w:val="3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AE68C4" w:rsidRDefault="00AE68C4" w:rsidP="00B85A9E">
      <w:pPr>
        <w:spacing w:after="0"/>
        <w:jc w:val="both"/>
        <w:outlineLvl w:val="3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Dans le parcours des alliances de l’Ancien Testament, nous en arrivons à l’Alliance au Sinaï : elle devient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celle de Dieu avec tout un peuple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. Elle se fonde en Dieu, comme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créateur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(cf. l’allusion au Sabbat et au récit de création (</w:t>
      </w:r>
      <w:proofErr w:type="spellStart"/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Gn</w:t>
      </w:r>
      <w:proofErr w:type="spellEnd"/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1)) et comme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libérateur de l’esclavage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. Dieu est le Dieu de tous qui est apparu dans le monde en agissant dans l’histoire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pour une nation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. Les dix commandements deviennent ainsi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 xml:space="preserve">la manière juste pour le peuple de répondre à l’œuvre de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lastRenderedPageBreak/>
        <w:t>Dieu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. Il est bon de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reprendre chaque commandement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, de voir sa bonté pour l’homme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, pour nous,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et de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s’interroger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en vérité sur sa propre manière de le vivre, pour demander à Dieu la grâce d’avancer dans la fidélité et d’accueillir sa miséricorde pour effacer nos fautes.</w:t>
      </w:r>
    </w:p>
    <w:p w:rsidR="00A62891" w:rsidRPr="00EB03C9" w:rsidRDefault="00A62891" w:rsidP="00B85A9E">
      <w:pPr>
        <w:spacing w:after="0"/>
        <w:jc w:val="both"/>
        <w:outlineLvl w:val="3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</w:p>
    <w:p w:rsidR="007E7E3E" w:rsidRPr="00B85A9E" w:rsidRDefault="007E7E3E" w:rsidP="00AE68C4">
      <w:pPr>
        <w:spacing w:after="0"/>
        <w:jc w:val="both"/>
        <w:outlineLvl w:val="3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AE68C4">
        <w:rPr>
          <w:rFonts w:eastAsia="Times New Roman" w:cstheme="minorHAnsi"/>
          <w:b/>
          <w:bCs/>
          <w:caps/>
          <w:sz w:val="24"/>
          <w:szCs w:val="24"/>
          <w:lang w:eastAsia="fr-FR"/>
        </w:rPr>
        <w:t>P</w:t>
      </w:r>
      <w:r w:rsidR="00AE68C4">
        <w:rPr>
          <w:rFonts w:eastAsia="Times New Roman" w:cstheme="minorHAnsi"/>
          <w:b/>
          <w:bCs/>
          <w:sz w:val="24"/>
          <w:szCs w:val="24"/>
          <w:lang w:eastAsia="fr-FR"/>
        </w:rPr>
        <w:t>saume</w:t>
      </w:r>
      <w:r w:rsidR="002106E4" w:rsidRPr="00AE68C4">
        <w:rPr>
          <w:rFonts w:eastAsia="Times New Roman" w:cstheme="minorHAnsi"/>
          <w:b/>
          <w:bCs/>
          <w:caps/>
          <w:sz w:val="24"/>
          <w:szCs w:val="24"/>
          <w:lang w:eastAsia="fr-FR"/>
        </w:rPr>
        <w:t xml:space="preserve"> </w:t>
      </w:r>
      <w:r w:rsidRPr="00AE68C4">
        <w:rPr>
          <w:rFonts w:eastAsia="Times New Roman" w:cstheme="minorHAnsi"/>
          <w:b/>
          <w:bCs/>
          <w:sz w:val="24"/>
          <w:szCs w:val="24"/>
          <w:lang w:eastAsia="fr-FR"/>
        </w:rPr>
        <w:t>18b (19)</w:t>
      </w:r>
      <w:r w:rsidR="00AE68C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 : </w:t>
      </w:r>
      <w:r w:rsidRPr="00B85A9E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R/ Seigneur, tu as les paroles</w:t>
      </w:r>
      <w:r w:rsid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de la vie éternelle.</w:t>
      </w:r>
    </w:p>
    <w:p w:rsidR="00AE68C4" w:rsidRDefault="00AE68C4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  <w:sectPr w:rsidR="00AE68C4" w:rsidSect="00A62891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E7E3E" w:rsidRPr="00B85A9E" w:rsidRDefault="007E7E3E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>La loi du Seigneur est parfaite,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qui redonne vie ;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la charte du Seigneur est sûre,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qui rend sages les simples.</w:t>
      </w:r>
    </w:p>
    <w:p w:rsidR="002106E4" w:rsidRDefault="002106E4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7E7E3E" w:rsidRPr="00B85A9E" w:rsidRDefault="007E7E3E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Les préceptes du Seigneur sont droits,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ils réjouissent le cœur ;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le commandement du Seigneur est limpide,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il clarifie le regard.</w:t>
      </w:r>
    </w:p>
    <w:p w:rsidR="007E7E3E" w:rsidRPr="00B85A9E" w:rsidRDefault="007E7E3E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La crainte qu’il inspire est pure</w:t>
      </w:r>
      <w:proofErr w:type="gramStart"/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proofErr w:type="gramEnd"/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elle est là pour toujours ;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les décisions du Seigneur sont justes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et vraiment équitables :</w:t>
      </w:r>
    </w:p>
    <w:p w:rsidR="002106E4" w:rsidRDefault="002106E4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AE68C4" w:rsidRDefault="007E7E3E" w:rsidP="002106E4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  <w:sectPr w:rsidR="00AE68C4" w:rsidSect="00AE68C4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plus désirables que l’or</w:t>
      </w:r>
      <w:proofErr w:type="gramStart"/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proofErr w:type="gramEnd"/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qu’une masse d’or fin,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plus savoureuses que le miel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qui coule des rayons.</w:t>
      </w:r>
    </w:p>
    <w:p w:rsidR="007E7E3E" w:rsidRPr="00EB03C9" w:rsidRDefault="0054350D" w:rsidP="00EB03C9">
      <w:pPr>
        <w:spacing w:after="0"/>
        <w:jc w:val="both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lastRenderedPageBreak/>
        <w:t xml:space="preserve">Le psaume 18 médite sur la </w:t>
      </w:r>
      <w:r w:rsidR="0043378C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bonté de la loi divine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. Pour nous, plus réservé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s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sur le bien-fondé des commandements par notre </w:t>
      </w:r>
      <w:r w:rsidR="0043378C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culture de la liberté comme autonomie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(dans son sens originel, parfois :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être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principe de sa loi), prier avec ce psaume c’est entrer dans l’attitude de réception d’un chemin de vie qui nous est donné. Jean-Paul II parle ainsi de 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“</w:t>
      </w:r>
      <w:proofErr w:type="spellStart"/>
      <w:r w:rsidR="0043378C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théonomie</w:t>
      </w:r>
      <w:proofErr w:type="spellEnd"/>
      <w:r w:rsidR="0043378C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 xml:space="preserve"> participée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”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 : </w:t>
      </w:r>
      <w:r w:rsidR="0043378C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en Dieu est le principe de la loi pour l’homme, mais ce dernier pénètre librement dans le dessein divin</w:t>
      </w:r>
      <w:r w:rsidR="0043378C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.</w:t>
      </w:r>
    </w:p>
    <w:p w:rsidR="002106E4" w:rsidRDefault="002106E4" w:rsidP="00B85A9E">
      <w:pPr>
        <w:spacing w:after="0"/>
        <w:jc w:val="both"/>
        <w:rPr>
          <w:rFonts w:eastAsia="Times New Roman" w:cstheme="minorHAnsi"/>
          <w:b/>
          <w:bCs/>
          <w:caps/>
          <w:color w:val="BF2329"/>
          <w:sz w:val="24"/>
          <w:szCs w:val="24"/>
          <w:lang w:eastAsia="fr-FR"/>
        </w:rPr>
      </w:pPr>
    </w:p>
    <w:p w:rsidR="007E7E3E" w:rsidRPr="002106E4" w:rsidRDefault="007E7E3E" w:rsidP="00B85A9E">
      <w:pPr>
        <w:spacing w:after="0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Lecture de la première lettre de saint Paul apôtre aux Corinthiens</w:t>
      </w:r>
    </w:p>
    <w:p w:rsidR="007E7E3E" w:rsidRPr="00B85A9E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Frères,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alors que les Juifs réclament des signes miraculeux,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que les Grecs recherchent une sagesse,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nous, nous proclamons un Messie crucifié,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scandale pour les Juifs,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folie pour les nations païennes.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Mais pour ceux que Dieu appelle,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qu’ils soient juifs ou grecs,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ce Messie, ce Christ, est puissance de Dieu et sagesse de Dieu.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Car ce qui est folie de Dieu est plus sage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q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ue les hommes,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ce qui est faiblesse de Dieu est plus fort que les hommes.</w:t>
      </w:r>
    </w:p>
    <w:p w:rsidR="002106E4" w:rsidRDefault="002106E4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3378C" w:rsidRPr="00EB03C9" w:rsidRDefault="0043378C" w:rsidP="00B85A9E">
      <w:pPr>
        <w:spacing w:after="0"/>
        <w:jc w:val="both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Aux Corinthiens imbus de sagesse, aux juifs dans leur idéal construit du Messie, saint Paul a conscience du côté déroutant de la Révélation.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 xml:space="preserve">Le Christ est tout sauf ce que le monde pouvait imaginer et pourtant il est pleinement témoin de Dieu et il </w:t>
      </w:r>
      <w:r w:rsid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 xml:space="preserve">comble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toutes nos attentes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. Il faut juste accepter d’entrer dans une nouvelle conception de la vie de l’homme.</w:t>
      </w:r>
    </w:p>
    <w:p w:rsidR="0043378C" w:rsidRDefault="0043378C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7E7E3E" w:rsidRPr="002106E4" w:rsidRDefault="007E7E3E" w:rsidP="00B85A9E">
      <w:pPr>
        <w:spacing w:after="0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2106E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Évangile de Jésus Christ selon saint Jean</w:t>
      </w:r>
    </w:p>
    <w:p w:rsidR="007E7E3E" w:rsidRPr="00B85A9E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Comme la Pâque juive était proche,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Jésus monta à Jérusalem.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Dans le Temple, il trouva installés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les marchands de bœufs, de brebis et de colombes,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les changeurs.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Il fit un fouet avec des cordes,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les chassa tous du Temple,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ainsi que les brebis et les bœufs ;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il jeta par terre la monnaie des changeurs,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r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enversa leurs comptoirs,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dit aux marchands de colombes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 :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« Enlevez cela d’ici.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Cessez de faire de la maison de mon Père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une maison de commerce. »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Ses disciples se rappelèrent qu’il est écrit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>L’amour de ta maison fera mon tourment.</w:t>
      </w:r>
      <w:r w:rsidR="002106E4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br/>
        <w:t>Des Juifs l’interpellèrent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« Quel signe peux-tu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nous donner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pour agir ainsi ? »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Jésus leur répondit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« Détruisez ce sanctuaire,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en trois jours je le relèverai. »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Les Juifs lui répliquèrent :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« Il a fallu quarante-six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ans pour bâtir ce sanctuaire,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toi, en trois jours tu le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relèverais ! »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Mais lui parlait du sanctuaire de son corps.</w:t>
      </w:r>
    </w:p>
    <w:p w:rsidR="002106E4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Aussi, quand il se réveilla d’entre les morts,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ses disciples se rappelèrent qu’il avait dit cela ;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ils crurent à l’Écriture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à la parole que Jésus avait dite.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7E7E3E" w:rsidRPr="00B85A9E" w:rsidRDefault="007E7E3E" w:rsidP="00B85A9E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Pendant qu’il était à Jérusalem pour la fête de la Pâque,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beaucoup crurent en son nom,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à la vue des signes qu’il accomplissait.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Jésus, lui, ne se fiait pas à eux,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parce qu’il les connaissait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>tous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et n’avait besoin d’aucun témoignage sur l’homme ;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lui-même, en effet, connaissait ce</w:t>
      </w:r>
      <w:r w:rsidR="002106E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B85A9E">
        <w:rPr>
          <w:rFonts w:eastAsia="Times New Roman" w:cstheme="minorHAnsi"/>
          <w:color w:val="333333"/>
          <w:sz w:val="24"/>
          <w:szCs w:val="24"/>
          <w:lang w:eastAsia="fr-FR"/>
        </w:rPr>
        <w:t>qu’il y a dans l’homme.</w:t>
      </w:r>
    </w:p>
    <w:p w:rsidR="00855F08" w:rsidRDefault="00A62891" w:rsidP="00B85A9E">
      <w:pPr>
        <w:spacing w:after="0"/>
        <w:jc w:val="both"/>
        <w:rPr>
          <w:rFonts w:cstheme="minorHAnsi"/>
          <w:sz w:val="24"/>
          <w:szCs w:val="24"/>
        </w:rPr>
      </w:pPr>
    </w:p>
    <w:p w:rsidR="0043378C" w:rsidRPr="00EB03C9" w:rsidRDefault="0043378C" w:rsidP="00B85A9E">
      <w:pPr>
        <w:spacing w:after="0"/>
        <w:jc w:val="both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C’est la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vérité du culte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que Jésus désire voir : non un geste social autour duquel gravite différents corps de métiers, mais une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manière d’entrer en relation avec le Père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. Comparant son corps au Temple, il indique le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nouveau lieu de rencontre avec Dieu : lui-même, envoyé par le Père pour rassembler l’humanité dispersée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.</w:t>
      </w:r>
    </w:p>
    <w:p w:rsidR="0043378C" w:rsidRPr="00EB03C9" w:rsidRDefault="0043378C" w:rsidP="00B85A9E">
      <w:pPr>
        <w:spacing w:after="0"/>
        <w:jc w:val="both"/>
        <w:rPr>
          <w:rFonts w:eastAsia="Times New Roman" w:cstheme="minorHAnsi"/>
          <w:i/>
          <w:color w:val="333333"/>
          <w:sz w:val="24"/>
          <w:szCs w:val="24"/>
          <w:lang w:eastAsia="fr-FR"/>
        </w:rPr>
      </w:pP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Le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s derniers versets semblent</w:t>
      </w:r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rudes : Jésus qui ne se fie pas à l’homme qui croit ? </w:t>
      </w:r>
      <w:proofErr w:type="gramStart"/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mais</w:t>
      </w:r>
      <w:proofErr w:type="gramEnd"/>
      <w:r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 c’est que le fondement de leur foi reste les signes extérieurs. Or, cela ne suffit pas. </w:t>
      </w:r>
      <w:r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 xml:space="preserve">Croire, c’est se fonder sur le Christ lui-même, </w:t>
      </w:r>
      <w:r w:rsidR="00EB03C9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à l’aide des signes, mais au-delà des signes</w:t>
      </w:r>
      <w:r w:rsidR="00EB03C9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 : les signes passent et n</w:t>
      </w:r>
      <w:r w:rsid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e peuvent être le rocher. Seul C</w:t>
      </w:r>
      <w:r w:rsidR="00EB03C9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 xml:space="preserve">elui qui aura vaincu tout mal pourra assurer notre foi. Ainsi, </w:t>
      </w:r>
      <w:r w:rsidR="00EB03C9" w:rsidRPr="00EB03C9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durant la nuit, quand les signes seront plus rares, nous pouvons poursuivre</w:t>
      </w:r>
      <w:r w:rsidR="00EB03C9" w:rsidRPr="00EB03C9">
        <w:rPr>
          <w:rFonts w:eastAsia="Times New Roman" w:cstheme="minorHAnsi"/>
          <w:i/>
          <w:color w:val="333333"/>
          <w:sz w:val="24"/>
          <w:szCs w:val="24"/>
          <w:lang w:eastAsia="fr-FR"/>
        </w:rPr>
        <w:t>.</w:t>
      </w:r>
    </w:p>
    <w:sectPr w:rsidR="0043378C" w:rsidRPr="00EB03C9" w:rsidSect="00A6289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E3E"/>
    <w:rsid w:val="002106E4"/>
    <w:rsid w:val="0043378C"/>
    <w:rsid w:val="00475213"/>
    <w:rsid w:val="0054350D"/>
    <w:rsid w:val="006A377A"/>
    <w:rsid w:val="007E7E3E"/>
    <w:rsid w:val="00A16BAD"/>
    <w:rsid w:val="00A62891"/>
    <w:rsid w:val="00AE68C4"/>
    <w:rsid w:val="00B85A9E"/>
    <w:rsid w:val="00E23284"/>
    <w:rsid w:val="00E95B17"/>
    <w:rsid w:val="00EB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17"/>
  </w:style>
  <w:style w:type="paragraph" w:styleId="Titre4">
    <w:name w:val="heading 4"/>
    <w:basedOn w:val="Normal"/>
    <w:link w:val="Titre4Car"/>
    <w:uiPriority w:val="9"/>
    <w:qFormat/>
    <w:rsid w:val="007E7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E7E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E7E3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E7E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7E3E"/>
    <w:rPr>
      <w:b/>
      <w:bCs/>
    </w:rPr>
  </w:style>
  <w:style w:type="character" w:customStyle="1" w:styleId="apple-converted-space">
    <w:name w:val="apple-converted-space"/>
    <w:basedOn w:val="Policepardfaut"/>
    <w:rsid w:val="007E7E3E"/>
  </w:style>
  <w:style w:type="character" w:styleId="Accentuation">
    <w:name w:val="Emphasis"/>
    <w:basedOn w:val="Policepardfaut"/>
    <w:uiPriority w:val="20"/>
    <w:qFormat/>
    <w:rsid w:val="007E7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2021-02-27T20:04:00Z</dcterms:created>
  <dcterms:modified xsi:type="dcterms:W3CDTF">2021-03-03T20:13:00Z</dcterms:modified>
</cp:coreProperties>
</file>